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980" w:type="dxa"/>
        <w:jc w:val="left"/>
        <w:tblInd w:w="2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939"/>
        <w:gridCol w:w="5040"/>
      </w:tblGrid>
      <w:tr>
        <w:trPr>
          <w:trHeight w:val="1827" w:hRule="atLeast"/>
        </w:trPr>
        <w:tc>
          <w:tcPr>
            <w:tcW w:w="10979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</w:tcPr>
          <w:p>
            <w:pPr>
              <w:pStyle w:val="ConsNormal"/>
              <w:widowControl w:val="false"/>
              <w:spacing w:before="120" w:after="0"/>
              <w:ind w:hanging="0"/>
              <w:jc w:val="center"/>
              <w:rPr>
                <w:rFonts w:ascii="Times New Roman" w:hAnsi="Times New Roman" w:cs="Times New Roman"/>
                <w:b/>
                <w:color w:val="FFFFFF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b/>
                <w:sz w:val="22"/>
                <w:szCs w:val="22"/>
              </w:rPr>
              <w:t>БЮЛЛЕТЕНЬ ДЛЯ ГОЛОСОВАНИЯ НА ОБЩЕМ СОБРАНИИ АКЦИОНЕРОВ</w:t>
            </w:r>
          </w:p>
          <w:p>
            <w:pPr>
              <w:pStyle w:val="ConsNormal"/>
              <w:widowControl w:val="false"/>
              <w:spacing w:lineRule="auto" w:line="228" w:before="120" w:after="0"/>
              <w:ind w:hanging="0"/>
              <w:jc w:val="both"/>
              <w:rPr>
                <w:rFonts w:ascii="Times New Roman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Полное фирменное наименование: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Открытое акционерное общество "Крыловское автотранспортное предприятие", далее Общество.</w:t>
            </w:r>
          </w:p>
          <w:p>
            <w:pPr>
              <w:pStyle w:val="ConsNormal"/>
              <w:widowControl w:val="false"/>
              <w:spacing w:lineRule="auto" w:line="228"/>
              <w:ind w:hanging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Место нахождения Общества: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352091, Российская Федерация, Краснодарский край, Крыловский район, станица Октябрьская, ул. Индустриальная, д. 3.</w:t>
            </w:r>
          </w:p>
          <w:p>
            <w:pPr>
              <w:pStyle w:val="ConsNormal"/>
              <w:widowControl w:val="false"/>
              <w:spacing w:lineRule="auto" w:line="228"/>
              <w:ind w:hanging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Вид общего собрания акционеров: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годовое.</w:t>
            </w:r>
          </w:p>
          <w:p>
            <w:pPr>
              <w:pStyle w:val="Prilozhenie"/>
              <w:widowControl w:val="false"/>
              <w:ind w:hanging="0"/>
              <w:rPr>
                <w:b/>
                <w:color w:val="FFFFFF"/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Форма проведения общего собрания акционеров: </w:t>
            </w:r>
            <w:r>
              <w:rPr>
                <w:b/>
                <w:sz w:val="18"/>
                <w:szCs w:val="18"/>
                <w:lang w:eastAsia="ru-RU"/>
              </w:rPr>
              <w:t>заочное голосование.</w:t>
            </w:r>
          </w:p>
          <w:p>
            <w:pPr>
              <w:pStyle w:val="Prilozhenie"/>
              <w:widowControl w:val="false"/>
              <w:ind w:hanging="0"/>
              <w:rPr>
                <w:b/>
                <w:color w:val="FFFFFF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окончания приема бюллетеней для голосования: </w:t>
            </w:r>
            <w:r>
              <w:rPr>
                <w:b/>
                <w:sz w:val="18"/>
                <w:szCs w:val="18"/>
                <w:lang w:eastAsia="ru-RU"/>
              </w:rPr>
              <w:t>14 июня 2024</w:t>
            </w:r>
            <w:r>
              <w:rPr>
                <w:b/>
                <w:sz w:val="18"/>
                <w:szCs w:val="18"/>
              </w:rPr>
              <w:t xml:space="preserve"> года.</w:t>
            </w:r>
          </w:p>
          <w:p>
            <w:pPr>
              <w:pStyle w:val="Prilozhenie"/>
              <w:widowControl w:val="false"/>
              <w:ind w:hanging="0"/>
              <w:rPr>
                <w:b/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определении кворума и подведении итогов голосования на общем собрании акционеров будут учитываться голоса акционеров, бюллетени которых получены до даты окончания приема бюллетеней: </w:t>
            </w:r>
            <w:r>
              <w:rPr>
                <w:b/>
                <w:sz w:val="18"/>
                <w:szCs w:val="18"/>
              </w:rPr>
              <w:t>не позднее 13 июня 2024 года включительно.</w:t>
            </w:r>
          </w:p>
          <w:p>
            <w:pPr>
              <w:pStyle w:val="ConsNormal"/>
              <w:widowControl w:val="false"/>
              <w:spacing w:lineRule="auto" w:line="228"/>
              <w:ind w:hanging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en-US"/>
              </w:rPr>
              <w:t>Почтовый адрес, по которому должны направляться заполненные бюллетени: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352091, Краснодарский край, Крыловский район, станица Октябрьская, ул. Индустриальная, д. 3.</w:t>
            </w:r>
          </w:p>
        </w:tc>
      </w:tr>
      <w:tr>
        <w:trPr>
          <w:trHeight w:val="284" w:hRule="atLeast"/>
        </w:trPr>
        <w:tc>
          <w:tcPr>
            <w:tcW w:w="10979" w:type="dxa"/>
            <w:gridSpan w:val="2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Акционер:</w:t>
            </w:r>
          </w:p>
        </w:tc>
      </w:tr>
      <w:tr>
        <w:trPr>
          <w:trHeight w:val="397" w:hRule="exact"/>
        </w:trPr>
        <w:tc>
          <w:tcPr>
            <w:tcW w:w="59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both"/>
              <w:rPr>
                <w:rFonts w:ascii="Times New Roman" w:hAnsi="Times New Roman" w:cs="Times New Roman"/>
                <w:b/>
                <w:spacing w:val="-4"/>
              </w:rPr>
            </w:pPr>
            <w:r>
              <w:rPr>
                <w:rFonts w:cs="Times New Roman" w:ascii="Times New Roman" w:hAnsi="Times New Roman"/>
                <w:b/>
                <w:spacing w:val="-4"/>
              </w:rPr>
              <w:t>Количество голосов по вопросам 1, 2, 4, 5</w:t>
            </w:r>
          </w:p>
        </w:tc>
        <w:tc>
          <w:tcPr>
            <w:tcW w:w="504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397" w:hRule="exact"/>
        </w:trPr>
        <w:tc>
          <w:tcPr>
            <w:tcW w:w="5939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both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cs="Times New Roman" w:ascii="Times New Roman" w:hAnsi="Times New Roman"/>
                <w:b/>
                <w:spacing w:val="-8"/>
              </w:rPr>
              <w:t>Количество голосов по вопросу 3 (Кумулятивное голосование</w:t>
            </w:r>
            <w:r>
              <w:rPr>
                <w:rFonts w:cs="Times New Roman" w:ascii="Times New Roman" w:hAnsi="Times New Roman"/>
                <w:b/>
              </w:rPr>
              <w:t>)</w:t>
            </w:r>
          </w:p>
        </w:tc>
        <w:tc>
          <w:tcPr>
            <w:tcW w:w="5040" w:type="dxa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</w:tbl>
    <w:p>
      <w:pPr>
        <w:pStyle w:val="ConsNormal"/>
        <w:widowControl/>
        <w:tabs>
          <w:tab w:val="clear" w:pos="708"/>
          <w:tab w:val="left" w:pos="825" w:leader="none"/>
        </w:tabs>
        <w:ind w:hanging="0"/>
        <w:rPr>
          <w:rFonts w:ascii="Times New Roman" w:hAnsi="Times New Roman" w:cs="Times New Roman"/>
          <w:b/>
          <w:sz w:val="10"/>
          <w:szCs w:val="10"/>
        </w:rPr>
      </w:pPr>
      <w:r>
        <w:rPr>
          <w:rFonts w:cs="Times New Roman" w:ascii="Times New Roman" w:hAnsi="Times New Roman"/>
          <w:b/>
          <w:sz w:val="10"/>
          <w:szCs w:val="10"/>
        </w:rPr>
      </w:r>
    </w:p>
    <w:tbl>
      <w:tblPr>
        <w:tblW w:w="10927" w:type="dxa"/>
        <w:jc w:val="left"/>
        <w:tblInd w:w="2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664"/>
        <w:gridCol w:w="2572"/>
        <w:gridCol w:w="2175"/>
        <w:gridCol w:w="471"/>
        <w:gridCol w:w="825"/>
        <w:gridCol w:w="75"/>
        <w:gridCol w:w="1800"/>
        <w:gridCol w:w="182"/>
        <w:gridCol w:w="547"/>
        <w:gridCol w:w="535"/>
        <w:gridCol w:w="536"/>
        <w:gridCol w:w="545"/>
      </w:tblGrid>
      <w:tr>
        <w:trPr>
          <w:trHeight w:val="223" w:hRule="atLeast"/>
        </w:trPr>
        <w:tc>
          <w:tcPr>
            <w:tcW w:w="664" w:type="dxa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80"/>
              <w:ind w:hanging="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cs="Times New Roman" w:ascii="Times New Roman" w:hAnsi="Times New Roman"/>
                <w:b/>
                <w:spacing w:val="-8"/>
                <w:lang w:val="en-US"/>
              </w:rPr>
              <w:t>1</w:t>
            </w:r>
            <w:r>
              <w:rPr>
                <w:rFonts w:cs="Times New Roman" w:ascii="Times New Roman" w:hAnsi="Times New Roman"/>
                <w:b/>
                <w:spacing w:val="-8"/>
              </w:rPr>
              <w:t>.</w:t>
            </w:r>
          </w:p>
        </w:tc>
        <w:tc>
          <w:tcPr>
            <w:tcW w:w="10263" w:type="dxa"/>
            <w:gridSpan w:val="11"/>
            <w:tcBorders>
              <w:top w:val="double" w:sz="6" w:space="0" w:color="000000"/>
              <w:left w:val="single" w:sz="12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 утверждении годового отчёта, годовой бухгалтерской (финансовой) отчётности Общества.</w:t>
            </w:r>
          </w:p>
        </w:tc>
      </w:tr>
      <w:tr>
        <w:trPr>
          <w:trHeight w:val="295" w:hRule="atLeast"/>
        </w:trPr>
        <w:tc>
          <w:tcPr>
            <w:tcW w:w="10927" w:type="dxa"/>
            <w:gridSpan w:val="1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612" w:leader="none"/>
                <w:tab w:val="left" w:pos="792" w:leader="none"/>
              </w:tabs>
              <w:suppressAutoHyphens w:val="true"/>
              <w:spacing w:lineRule="auto" w:line="228" w:before="40" w:after="40"/>
              <w:jc w:val="both"/>
              <w:rPr>
                <w:bCs/>
                <w:spacing w:val="-8"/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  <w:u w:val="single"/>
              </w:rPr>
              <w:t>Формулировка решения:</w:t>
            </w:r>
            <w:r>
              <w:rPr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Утвердить </w:t>
            </w:r>
            <w:r>
              <w:rPr>
                <w:sz w:val="20"/>
                <w:szCs w:val="20"/>
              </w:rPr>
              <w:t>годовой отчёт Общества, годовую бухгалтерскую (финансовую) отчётность Общества за 2023 год.</w:t>
            </w:r>
          </w:p>
        </w:tc>
      </w:tr>
      <w:tr>
        <w:trPr>
          <w:trHeight w:val="66" w:hRule="atLeast"/>
        </w:trPr>
        <w:tc>
          <w:tcPr>
            <w:tcW w:w="10927" w:type="dxa"/>
            <w:gridSpan w:val="1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  <w:u w:val="single"/>
              </w:rPr>
              <w:t>Голосование: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Зачеркнуть ненужные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варианты,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оставив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не зачеркнутым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выбранный Вами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один вариант</w:t>
            </w:r>
          </w:p>
        </w:tc>
      </w:tr>
      <w:tr>
        <w:trPr>
          <w:trHeight w:val="214" w:hRule="atLeast"/>
        </w:trPr>
        <w:tc>
          <w:tcPr>
            <w:tcW w:w="323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ЗА</w:t>
            </w:r>
          </w:p>
        </w:tc>
        <w:tc>
          <w:tcPr>
            <w:tcW w:w="3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ПРОТИВ</w:t>
            </w:r>
          </w:p>
        </w:tc>
        <w:tc>
          <w:tcPr>
            <w:tcW w:w="4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pacing w:val="-8"/>
                <w:sz w:val="18"/>
                <w:szCs w:val="18"/>
              </w:rPr>
              <w:t>ВОЗДЕРЖАЛСЯ</w:t>
            </w:r>
          </w:p>
        </w:tc>
      </w:tr>
      <w:tr>
        <w:trPr>
          <w:trHeight w:val="245" w:hRule="atLeast"/>
        </w:trPr>
        <w:tc>
          <w:tcPr>
            <w:tcW w:w="3236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  <w:tc>
          <w:tcPr>
            <w:tcW w:w="3471" w:type="dxa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shd w:fill="FFFFFF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  <w:tc>
          <w:tcPr>
            <w:tcW w:w="4220" w:type="dxa"/>
            <w:gridSpan w:val="7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fill="FFFFFF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</w:tr>
      <w:tr>
        <w:trPr>
          <w:trHeight w:val="223" w:hRule="atLeast"/>
        </w:trPr>
        <w:tc>
          <w:tcPr>
            <w:tcW w:w="664" w:type="dxa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cs="Times New Roman" w:ascii="Times New Roman" w:hAnsi="Times New Roman"/>
                <w:b/>
                <w:spacing w:val="-8"/>
              </w:rPr>
              <w:t>2.</w:t>
            </w:r>
          </w:p>
        </w:tc>
        <w:tc>
          <w:tcPr>
            <w:tcW w:w="10263" w:type="dxa"/>
            <w:gridSpan w:val="11"/>
            <w:tcBorders>
              <w:top w:val="double" w:sz="6" w:space="0" w:color="000000"/>
              <w:left w:val="single" w:sz="12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 распределении прибыли (в том числе выплате (объявлении) дивидендов, за исключением выплаты (объявления) дивидендов по результатам первого квартала, полугодия, девяти месяцев отчётного года) и убытков Общества по результатам отчётного года.</w:t>
            </w:r>
          </w:p>
        </w:tc>
      </w:tr>
      <w:tr>
        <w:trPr>
          <w:trHeight w:val="351" w:hRule="atLeast"/>
        </w:trPr>
        <w:tc>
          <w:tcPr>
            <w:tcW w:w="10927" w:type="dxa"/>
            <w:gridSpan w:val="1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Default"/>
              <w:widowControl w:val="false"/>
              <w:spacing w:before="80" w:after="80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  <w:u w:val="single"/>
              </w:rPr>
              <w:t>Формулировка решения:</w:t>
            </w:r>
            <w:r>
              <w:rPr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Cs/>
                <w:color w:val="auto"/>
                <w:sz w:val="20"/>
                <w:szCs w:val="20"/>
              </w:rPr>
              <w:t>Ввиду получения по результатам 2023 отчётного года убытков  дивиденды по результатам 2023 отчётного года владельцам обыкновенных акций не выплачивать, на формирование резервного фонда Общества денежные средства не направлять.</w:t>
            </w:r>
            <w:r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</w:tr>
      <w:tr>
        <w:trPr>
          <w:trHeight w:val="66" w:hRule="atLeast"/>
        </w:trPr>
        <w:tc>
          <w:tcPr>
            <w:tcW w:w="10927" w:type="dxa"/>
            <w:gridSpan w:val="1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  <w:u w:val="single"/>
              </w:rPr>
              <w:t>Голосование: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Зачеркнуть ненужные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варианты,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оставив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не зачеркнутым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выбранный Вами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один вариант</w:t>
            </w:r>
          </w:p>
        </w:tc>
      </w:tr>
      <w:tr>
        <w:trPr>
          <w:trHeight w:val="214" w:hRule="atLeast"/>
        </w:trPr>
        <w:tc>
          <w:tcPr>
            <w:tcW w:w="3236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ЗА</w:t>
            </w:r>
          </w:p>
        </w:tc>
        <w:tc>
          <w:tcPr>
            <w:tcW w:w="34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ПРОТИВ</w:t>
            </w:r>
          </w:p>
        </w:tc>
        <w:tc>
          <w:tcPr>
            <w:tcW w:w="422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pacing w:val="-8"/>
                <w:sz w:val="18"/>
                <w:szCs w:val="18"/>
              </w:rPr>
              <w:t>ВОЗДЕРЖАЛСЯ</w:t>
            </w:r>
          </w:p>
        </w:tc>
      </w:tr>
      <w:tr>
        <w:trPr>
          <w:trHeight w:val="245" w:hRule="atLeast"/>
        </w:trPr>
        <w:tc>
          <w:tcPr>
            <w:tcW w:w="3236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  <w:tc>
          <w:tcPr>
            <w:tcW w:w="3471" w:type="dxa"/>
            <w:gridSpan w:val="3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  <w:tc>
          <w:tcPr>
            <w:tcW w:w="4220" w:type="dxa"/>
            <w:gridSpan w:val="7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</w:tr>
      <w:tr>
        <w:trPr>
          <w:trHeight w:val="175" w:hRule="atLeast"/>
        </w:trPr>
        <w:tc>
          <w:tcPr>
            <w:tcW w:w="664" w:type="dxa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cs="Times New Roman" w:ascii="Times New Roman" w:hAnsi="Times New Roman"/>
                <w:b/>
                <w:spacing w:val="-8"/>
              </w:rPr>
              <w:t>3.</w:t>
            </w:r>
          </w:p>
        </w:tc>
        <w:tc>
          <w:tcPr>
            <w:tcW w:w="10263" w:type="dxa"/>
            <w:gridSpan w:val="11"/>
            <w:tcBorders>
              <w:top w:val="double" w:sz="6" w:space="0" w:color="000000"/>
              <w:left w:val="single" w:sz="12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 избрании совета директоров Общества.</w:t>
            </w:r>
          </w:p>
        </w:tc>
      </w:tr>
      <w:tr>
        <w:trPr>
          <w:trHeight w:val="175" w:hRule="atLeast"/>
        </w:trPr>
        <w:tc>
          <w:tcPr>
            <w:tcW w:w="5882" w:type="dxa"/>
            <w:gridSpan w:val="4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before="120" w:after="120"/>
              <w:ind w:hanging="0"/>
              <w:jc w:val="both"/>
              <w:rPr>
                <w:rFonts w:ascii="Times New Roman" w:hAnsi="Times New Roman" w:cs="Times New Roman"/>
                <w:color w:val="FFFFFF"/>
              </w:rPr>
            </w:pPr>
            <w:r>
              <w:rPr>
                <w:rFonts w:cs="Times New Roman" w:ascii="Times New Roman" w:hAnsi="Times New Roman"/>
                <w:b/>
                <w:bCs/>
                <w:spacing w:val="-8"/>
                <w:u w:val="single"/>
              </w:rPr>
              <w:t>Формулировка решения</w:t>
            </w:r>
            <w:r>
              <w:rPr>
                <w:rFonts w:cs="Times New Roman" w:ascii="Times New Roman" w:hAnsi="Times New Roman"/>
                <w:b/>
                <w:bCs/>
                <w:spacing w:val="-8"/>
              </w:rPr>
              <w:t xml:space="preserve">: </w:t>
            </w:r>
            <w:r>
              <w:rPr>
                <w:rFonts w:cs="Times New Roman" w:ascii="Times New Roman" w:hAnsi="Times New Roman"/>
                <w:color w:val="000000"/>
              </w:rPr>
              <w:t xml:space="preserve">Избрать </w:t>
            </w:r>
            <w:r>
              <w:rPr>
                <w:rFonts w:cs="Times New Roman" w:ascii="Times New Roman" w:hAnsi="Times New Roman"/>
              </w:rPr>
              <w:t>совет директоров Общества в количестве 5 (Пяти) членов в следующем составе:</w:t>
            </w:r>
          </w:p>
        </w:tc>
        <w:tc>
          <w:tcPr>
            <w:tcW w:w="5045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4"/>
                <w:szCs w:val="14"/>
              </w:rPr>
              <w:t>Зачеркнуть ненужные</w:t>
            </w:r>
            <w:r>
              <w:rPr>
                <w:rFonts w:cs="Times New Roman" w:ascii="Times New Roman" w:hAnsi="Times New Roman"/>
                <w:sz w:val="14"/>
                <w:szCs w:val="14"/>
              </w:rPr>
              <w:t xml:space="preserve"> варианты, </w:t>
            </w:r>
            <w:r>
              <w:rPr>
                <w:rFonts w:cs="Times New Roman" w:ascii="Times New Roman" w:hAnsi="Times New Roman"/>
                <w:b/>
                <w:sz w:val="14"/>
                <w:szCs w:val="14"/>
              </w:rPr>
              <w:t>оставив</w:t>
            </w:r>
            <w:r>
              <w:rPr>
                <w:rFonts w:cs="Times New Roman" w:ascii="Times New Roman" w:hAnsi="Times New Roman"/>
                <w:sz w:val="14"/>
                <w:szCs w:val="1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4"/>
                <w:szCs w:val="14"/>
              </w:rPr>
              <w:t>не зачеркнутым</w:t>
            </w:r>
            <w:r>
              <w:rPr>
                <w:rFonts w:cs="Times New Roman" w:ascii="Times New Roman" w:hAnsi="Times New Roman"/>
                <w:sz w:val="14"/>
                <w:szCs w:val="14"/>
              </w:rPr>
              <w:t xml:space="preserve"> выбранный Вами </w:t>
            </w:r>
            <w:r>
              <w:rPr>
                <w:rFonts w:cs="Times New Roman" w:ascii="Times New Roman" w:hAnsi="Times New Roman"/>
                <w:b/>
                <w:sz w:val="14"/>
                <w:szCs w:val="14"/>
              </w:rPr>
              <w:t>один вариант</w:t>
            </w:r>
          </w:p>
        </w:tc>
      </w:tr>
      <w:tr>
        <w:trPr>
          <w:trHeight w:val="149" w:hRule="atLeast"/>
        </w:trPr>
        <w:tc>
          <w:tcPr>
            <w:tcW w:w="5882" w:type="dxa"/>
            <w:gridSpan w:val="4"/>
            <w:vMerge w:val="continue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both"/>
              <w:rPr>
                <w:rFonts w:ascii="Times New Roman" w:hAnsi="Times New Roman" w:cs="Times New Roman"/>
                <w:b/>
                <w:bCs/>
                <w:i/>
                <w:i/>
                <w:iCs/>
                <w:sz w:val="18"/>
                <w:szCs w:val="18"/>
                <w:highlight w:val="red"/>
              </w:rPr>
            </w:pPr>
            <w:r>
              <w:rPr>
                <w:rFonts w:cs="Times New Roman" w:ascii="Times New Roman" w:hAnsi="Times New Roman"/>
                <w:b/>
                <w:bCs/>
                <w:i/>
                <w:iCs/>
                <w:sz w:val="18"/>
                <w:szCs w:val="18"/>
                <w:highlight w:val="red"/>
              </w:rPr>
            </w:r>
          </w:p>
        </w:tc>
        <w:tc>
          <w:tcPr>
            <w:tcW w:w="2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ЗА</w:t>
            </w:r>
          </w:p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4"/>
                <w:szCs w:val="14"/>
              </w:rPr>
              <w:t>(Проставить число голосов)</w:t>
            </w:r>
          </w:p>
        </w:tc>
        <w:tc>
          <w:tcPr>
            <w:tcW w:w="5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ConsNormal"/>
              <w:widowControl w:val="false"/>
              <w:spacing w:lineRule="auto" w:line="228"/>
              <w:ind w:right="113" w:hang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ПРОТИВ</w:t>
            </w:r>
          </w:p>
        </w:tc>
        <w:tc>
          <w:tcPr>
            <w:tcW w:w="5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>
            <w:pPr>
              <w:pStyle w:val="ConsNormal"/>
              <w:widowControl w:val="false"/>
              <w:spacing w:lineRule="auto" w:line="228"/>
              <w:ind w:right="113" w:hanging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b/>
                <w:sz w:val="12"/>
                <w:szCs w:val="12"/>
              </w:rPr>
            </w:r>
          </w:p>
        </w:tc>
        <w:tc>
          <w:tcPr>
            <w:tcW w:w="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ConsNormal"/>
              <w:widowControl w:val="false"/>
              <w:spacing w:lineRule="auto" w:line="228"/>
              <w:ind w:right="113" w:hanging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ВОЗДЕРЖАЛСЯ</w:t>
            </w:r>
          </w:p>
        </w:tc>
        <w:tc>
          <w:tcPr>
            <w:tcW w:w="5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textDirection w:val="btLr"/>
            <w:vAlign w:val="center"/>
          </w:tcPr>
          <w:p>
            <w:pPr>
              <w:pStyle w:val="ConsNormal"/>
              <w:widowControl w:val="false"/>
              <w:spacing w:lineRule="auto" w:line="228"/>
              <w:ind w:right="113" w:hanging="0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>
              <w:rPr>
                <w:rFonts w:cs="Times New Roman" w:ascii="Times New Roman" w:hAnsi="Times New Roman"/>
                <w:b/>
                <w:sz w:val="12"/>
                <w:szCs w:val="12"/>
              </w:rPr>
            </w:r>
          </w:p>
        </w:tc>
      </w:tr>
      <w:tr>
        <w:trPr>
          <w:trHeight w:val="239" w:hRule="atLeast"/>
        </w:trPr>
        <w:tc>
          <w:tcPr>
            <w:tcW w:w="6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Cs/>
                <w:spacing w:val="-8"/>
              </w:rPr>
            </w:pPr>
            <w:r>
              <w:rPr>
                <w:rFonts w:cs="Times New Roman" w:ascii="Times New Roman" w:hAnsi="Times New Roman"/>
                <w:bCs/>
                <w:spacing w:val="-8"/>
              </w:rPr>
              <w:t>1.</w:t>
            </w:r>
          </w:p>
        </w:tc>
        <w:tc>
          <w:tcPr>
            <w:tcW w:w="5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Гомолко Владимир Владимирович</w:t>
            </w:r>
          </w:p>
        </w:tc>
        <w:tc>
          <w:tcPr>
            <w:tcW w:w="2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54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53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pct12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5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54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pct12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</w:tr>
      <w:tr>
        <w:trPr>
          <w:trHeight w:val="239" w:hRule="atLeast"/>
        </w:trPr>
        <w:tc>
          <w:tcPr>
            <w:tcW w:w="6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Cs/>
                <w:spacing w:val="-8"/>
              </w:rPr>
            </w:pPr>
            <w:r>
              <w:rPr>
                <w:rFonts w:cs="Times New Roman" w:ascii="Times New Roman" w:hAnsi="Times New Roman"/>
                <w:bCs/>
                <w:spacing w:val="-8"/>
              </w:rPr>
              <w:t>2.</w:t>
            </w:r>
          </w:p>
        </w:tc>
        <w:tc>
          <w:tcPr>
            <w:tcW w:w="5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Каминский Дмитрий Иосифович</w:t>
            </w:r>
          </w:p>
        </w:tc>
        <w:tc>
          <w:tcPr>
            <w:tcW w:w="2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4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4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239" w:hRule="atLeast"/>
        </w:trPr>
        <w:tc>
          <w:tcPr>
            <w:tcW w:w="6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Cs/>
                <w:spacing w:val="-8"/>
              </w:rPr>
            </w:pPr>
            <w:r>
              <w:rPr>
                <w:rFonts w:cs="Times New Roman" w:ascii="Times New Roman" w:hAnsi="Times New Roman"/>
                <w:bCs/>
                <w:spacing w:val="-8"/>
              </w:rPr>
              <w:t>3.</w:t>
            </w:r>
          </w:p>
        </w:tc>
        <w:tc>
          <w:tcPr>
            <w:tcW w:w="5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Павлова Наталья Владимировна</w:t>
            </w:r>
          </w:p>
        </w:tc>
        <w:tc>
          <w:tcPr>
            <w:tcW w:w="2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4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4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239" w:hRule="atLeast"/>
        </w:trPr>
        <w:tc>
          <w:tcPr>
            <w:tcW w:w="6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Cs/>
                <w:spacing w:val="-8"/>
              </w:rPr>
            </w:pPr>
            <w:r>
              <w:rPr>
                <w:rFonts w:cs="Times New Roman" w:ascii="Times New Roman" w:hAnsi="Times New Roman"/>
                <w:bCs/>
                <w:spacing w:val="-8"/>
              </w:rPr>
              <w:t>4.</w:t>
            </w:r>
          </w:p>
        </w:tc>
        <w:tc>
          <w:tcPr>
            <w:tcW w:w="5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Сокол Вадим Анатольевич</w:t>
            </w:r>
          </w:p>
        </w:tc>
        <w:tc>
          <w:tcPr>
            <w:tcW w:w="2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4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4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239" w:hRule="atLeast"/>
        </w:trPr>
        <w:tc>
          <w:tcPr>
            <w:tcW w:w="664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Cs/>
                <w:spacing w:val="-8"/>
              </w:rPr>
            </w:pPr>
            <w:r>
              <w:rPr>
                <w:rFonts w:cs="Times New Roman" w:ascii="Times New Roman" w:hAnsi="Times New Roman"/>
                <w:bCs/>
                <w:spacing w:val="-8"/>
              </w:rPr>
              <w:t>5.</w:t>
            </w:r>
          </w:p>
        </w:tc>
        <w:tc>
          <w:tcPr>
            <w:tcW w:w="52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Шульгин Константин Борисович</w:t>
            </w:r>
          </w:p>
        </w:tc>
        <w:tc>
          <w:tcPr>
            <w:tcW w:w="288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547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3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545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color="auto" w:fill="auto" w:val="pct12"/>
          </w:tcPr>
          <w:p>
            <w:pPr>
              <w:pStyle w:val="Style24"/>
              <w:widowControl w:val="false"/>
              <w:spacing w:lineRule="auto" w:line="228"/>
              <w:jc w:val="center"/>
              <w:rPr>
                <w:b/>
              </w:rPr>
            </w:pPr>
            <w:r>
              <w:rPr>
                <w:b/>
              </w:rPr>
            </w:r>
          </w:p>
        </w:tc>
      </w:tr>
      <w:tr>
        <w:trPr>
          <w:trHeight w:val="174" w:hRule="atLeast"/>
        </w:trPr>
        <w:tc>
          <w:tcPr>
            <w:tcW w:w="664" w:type="dxa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cs="Times New Roman" w:ascii="Times New Roman" w:hAnsi="Times New Roman"/>
                <w:b/>
                <w:spacing w:val="-8"/>
              </w:rPr>
              <w:t>4.</w:t>
            </w:r>
          </w:p>
        </w:tc>
        <w:tc>
          <w:tcPr>
            <w:tcW w:w="10263" w:type="dxa"/>
            <w:gridSpan w:val="11"/>
            <w:tcBorders>
              <w:top w:val="double" w:sz="6" w:space="0" w:color="000000"/>
              <w:left w:val="single" w:sz="12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6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 избрании ревизионной комиссии Общества.</w:t>
            </w:r>
          </w:p>
        </w:tc>
      </w:tr>
      <w:tr>
        <w:trPr>
          <w:trHeight w:val="243" w:hRule="atLeast"/>
        </w:trPr>
        <w:tc>
          <w:tcPr>
            <w:tcW w:w="10927" w:type="dxa"/>
            <w:gridSpan w:val="1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ConsNormal"/>
              <w:widowControl w:val="false"/>
              <w:spacing w:lineRule="auto" w:line="228" w:before="120" w:after="120"/>
              <w:ind w:hanging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  <w:bCs/>
                <w:spacing w:val="-8"/>
                <w:u w:val="single"/>
              </w:rPr>
              <w:t>Формулировка решения:</w:t>
            </w:r>
            <w:r>
              <w:rPr>
                <w:rFonts w:cs="Times New Roman" w:ascii="Times New Roman" w:hAnsi="Times New Roman"/>
                <w:b/>
                <w:bCs/>
                <w:spacing w:val="-8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</w:rPr>
              <w:t xml:space="preserve">Избрать ревизионную комиссию Общества в количестве </w:t>
            </w:r>
            <w:r>
              <w:rPr>
                <w:rFonts w:cs="Times New Roman" w:ascii="Times New Roman" w:hAnsi="Times New Roman"/>
              </w:rPr>
              <w:t>3 (Трёх) членов в следующем составе</w:t>
            </w:r>
            <w:r>
              <w:rPr>
                <w:rFonts w:cs="Times New Roman" w:ascii="Times New Roman" w:hAnsi="Times New Roman"/>
                <w:color w:val="000000"/>
              </w:rPr>
              <w:t>:</w:t>
            </w:r>
          </w:p>
        </w:tc>
      </w:tr>
      <w:tr>
        <w:trPr>
          <w:trHeight w:val="215" w:hRule="atLeast"/>
          <w:cantSplit w:val="true"/>
        </w:trPr>
        <w:tc>
          <w:tcPr>
            <w:tcW w:w="66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>1.</w:t>
            </w:r>
          </w:p>
        </w:tc>
        <w:tc>
          <w:tcPr>
            <w:tcW w:w="474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7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Блещунова Елена Владимировна</w:t>
            </w:r>
          </w:p>
        </w:tc>
        <w:tc>
          <w:tcPr>
            <w:tcW w:w="1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ЗА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ПРОТИВ</w:t>
            </w:r>
          </w:p>
        </w:tc>
        <w:tc>
          <w:tcPr>
            <w:tcW w:w="2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ВОЗДЕРЖАЛСЯ</w:t>
            </w:r>
          </w:p>
        </w:tc>
      </w:tr>
      <w:tr>
        <w:trPr>
          <w:trHeight w:val="65" w:hRule="atLeast"/>
          <w:cantSplit w:val="true"/>
        </w:trPr>
        <w:tc>
          <w:tcPr>
            <w:tcW w:w="664" w:type="dxa"/>
            <w:vMerge w:val="continue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  <w:bCs/>
                <w:iCs/>
              </w:rPr>
            </w:r>
          </w:p>
        </w:tc>
        <w:tc>
          <w:tcPr>
            <w:tcW w:w="474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</w:r>
          </w:p>
        </w:tc>
        <w:tc>
          <w:tcPr>
            <w:tcW w:w="2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</w:r>
          </w:p>
        </w:tc>
      </w:tr>
      <w:tr>
        <w:trPr>
          <w:trHeight w:val="215" w:hRule="atLeast"/>
          <w:cantSplit w:val="true"/>
        </w:trPr>
        <w:tc>
          <w:tcPr>
            <w:tcW w:w="66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>2.</w:t>
            </w:r>
          </w:p>
        </w:tc>
        <w:tc>
          <w:tcPr>
            <w:tcW w:w="474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7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Тулендиева Елена Станиславовна</w:t>
            </w:r>
          </w:p>
        </w:tc>
        <w:tc>
          <w:tcPr>
            <w:tcW w:w="1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ЗА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ПРОТИВ</w:t>
            </w:r>
          </w:p>
        </w:tc>
        <w:tc>
          <w:tcPr>
            <w:tcW w:w="2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ВОЗДЕРЖАЛСЯ</w:t>
            </w:r>
          </w:p>
        </w:tc>
      </w:tr>
      <w:tr>
        <w:trPr>
          <w:trHeight w:val="65" w:hRule="atLeast"/>
          <w:cantSplit w:val="true"/>
        </w:trPr>
        <w:tc>
          <w:tcPr>
            <w:tcW w:w="664" w:type="dxa"/>
            <w:vMerge w:val="continue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  <w:bCs/>
                <w:iCs/>
              </w:rPr>
            </w:r>
          </w:p>
        </w:tc>
        <w:tc>
          <w:tcPr>
            <w:tcW w:w="474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</w:r>
          </w:p>
        </w:tc>
        <w:tc>
          <w:tcPr>
            <w:tcW w:w="2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</w:r>
          </w:p>
        </w:tc>
      </w:tr>
      <w:tr>
        <w:trPr>
          <w:trHeight w:val="215" w:hRule="atLeast"/>
          <w:cantSplit w:val="true"/>
        </w:trPr>
        <w:tc>
          <w:tcPr>
            <w:tcW w:w="664" w:type="dxa"/>
            <w:vMerge w:val="restar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  <w:bCs/>
                <w:iCs/>
              </w:rPr>
              <w:t>3.</w:t>
            </w:r>
          </w:p>
        </w:tc>
        <w:tc>
          <w:tcPr>
            <w:tcW w:w="474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7"/>
              <w:widowControl w:val="false"/>
              <w:spacing w:before="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Чумаченко Юлия Владимировна</w:t>
            </w:r>
          </w:p>
        </w:tc>
        <w:tc>
          <w:tcPr>
            <w:tcW w:w="1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ЗА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ПРОТИВ</w:t>
            </w:r>
          </w:p>
        </w:tc>
        <w:tc>
          <w:tcPr>
            <w:tcW w:w="2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  <w:t>ВОЗДЕРЖАЛСЯ</w:t>
            </w:r>
          </w:p>
        </w:tc>
      </w:tr>
      <w:tr>
        <w:trPr>
          <w:trHeight w:val="65" w:hRule="atLeast"/>
          <w:cantSplit w:val="true"/>
        </w:trPr>
        <w:tc>
          <w:tcPr>
            <w:tcW w:w="664" w:type="dxa"/>
            <w:vMerge w:val="continue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cs="Times New Roman" w:ascii="Times New Roman" w:hAnsi="Times New Roman"/>
                <w:bCs/>
                <w:iCs/>
              </w:rPr>
            </w:r>
          </w:p>
        </w:tc>
        <w:tc>
          <w:tcPr>
            <w:tcW w:w="474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 w:before="80" w:after="0"/>
              <w:ind w:hanging="0"/>
              <w:rPr>
                <w:rFonts w:ascii="Times New Roman" w:hAnsi="Times New Roman" w:cs="Times New Roman"/>
                <w:bCs/>
                <w:iCs/>
                <w:sz w:val="21"/>
                <w:szCs w:val="21"/>
              </w:rPr>
            </w:pPr>
            <w:r>
              <w:rPr>
                <w:rFonts w:cs="Times New Roman" w:ascii="Times New Roman" w:hAnsi="Times New Roman"/>
                <w:bCs/>
                <w:iCs/>
                <w:sz w:val="21"/>
                <w:szCs w:val="21"/>
              </w:rPr>
            </w:r>
          </w:p>
        </w:tc>
        <w:tc>
          <w:tcPr>
            <w:tcW w:w="137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</w:r>
          </w:p>
        </w:tc>
        <w:tc>
          <w:tcPr>
            <w:tcW w:w="2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cs="Times New Roman" w:ascii="Times New Roman" w:hAnsi="Times New Roman"/>
                <w:b/>
                <w:sz w:val="17"/>
                <w:szCs w:val="17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tbl>
      <w:tblPr>
        <w:tblW w:w="10980" w:type="dxa"/>
        <w:jc w:val="left"/>
        <w:tblInd w:w="23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718"/>
        <w:gridCol w:w="2569"/>
        <w:gridCol w:w="3474"/>
        <w:gridCol w:w="4219"/>
      </w:tblGrid>
      <w:tr>
        <w:trPr>
          <w:trHeight w:val="363" w:hRule="atLeast"/>
        </w:trPr>
        <w:tc>
          <w:tcPr>
            <w:tcW w:w="718" w:type="dxa"/>
            <w:tcBorders>
              <w:top w:val="double" w:sz="6" w:space="0" w:color="000000"/>
              <w:left w:val="doub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ConsNormal"/>
              <w:pageBreakBefore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spacing w:val="-8"/>
              </w:rPr>
            </w:pPr>
            <w:r>
              <w:rPr>
                <w:rFonts w:cs="Times New Roman" w:ascii="Times New Roman" w:hAnsi="Times New Roman"/>
                <w:b/>
                <w:spacing w:val="-8"/>
              </w:rPr>
              <w:t>5.</w:t>
            </w:r>
          </w:p>
        </w:tc>
        <w:tc>
          <w:tcPr>
            <w:tcW w:w="10262" w:type="dxa"/>
            <w:gridSpan w:val="3"/>
            <w:tcBorders>
              <w:top w:val="double" w:sz="6" w:space="0" w:color="000000"/>
              <w:left w:val="single" w:sz="12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both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 назначении аудиторской организации Общества.</w:t>
            </w:r>
            <w:r>
              <w:rPr>
                <w:b/>
                <w:color w:val="FFFFFF"/>
                <w:sz w:val="20"/>
                <w:szCs w:val="20"/>
              </w:rPr>
              <w:t>.</w:t>
            </w:r>
          </w:p>
          <w:p>
            <w:pPr>
              <w:pStyle w:val="Normal"/>
              <w:widowControl w:val="false"/>
              <w:spacing w:before="0" w:after="60"/>
              <w:jc w:val="both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</w:r>
          </w:p>
        </w:tc>
      </w:tr>
      <w:tr>
        <w:trPr>
          <w:trHeight w:val="336" w:hRule="atLeast"/>
        </w:trPr>
        <w:tc>
          <w:tcPr>
            <w:tcW w:w="10980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Style17"/>
              <w:widowControl w:val="false"/>
              <w:rPr>
                <w:sz w:val="20"/>
                <w:szCs w:val="20"/>
              </w:rPr>
            </w:pPr>
            <w:r>
              <w:rPr>
                <w:b/>
                <w:bCs/>
                <w:spacing w:val="-8"/>
                <w:sz w:val="20"/>
                <w:szCs w:val="20"/>
                <w:u w:val="single"/>
              </w:rPr>
              <w:t>Формулировка решения: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Назначить аудиторской организацией Общества общество с ограниченной ответственностью</w:t>
            </w:r>
          </w:p>
          <w:p>
            <w:pPr>
              <w:pStyle w:val="Style17"/>
              <w:widowControl w:val="false"/>
              <w:spacing w:before="0" w:after="120"/>
              <w:rPr>
                <w:sz w:val="6"/>
                <w:szCs w:val="6"/>
              </w:rPr>
            </w:pPr>
            <w:r>
              <w:rPr>
                <w:sz w:val="20"/>
                <w:szCs w:val="20"/>
              </w:rPr>
              <w:t>«АУДИТОР-НБС».</w:t>
            </w:r>
          </w:p>
        </w:tc>
      </w:tr>
      <w:tr>
        <w:trPr>
          <w:trHeight w:val="66" w:hRule="atLeast"/>
        </w:trPr>
        <w:tc>
          <w:tcPr>
            <w:tcW w:w="10980" w:type="dxa"/>
            <w:gridSpan w:val="4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double" w:sz="6" w:space="0" w:color="000000"/>
            </w:tcBorders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b/>
                <w:bCs/>
                <w:sz w:val="16"/>
                <w:szCs w:val="16"/>
                <w:u w:val="single"/>
              </w:rPr>
              <w:t>Голосование: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Зачеркнуть ненужные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варианты,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оставив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не зачеркнутым</w:t>
            </w:r>
            <w:r>
              <w:rPr>
                <w:rFonts w:cs="Times New Roman" w:ascii="Times New Roman" w:hAnsi="Times New Roman"/>
                <w:sz w:val="16"/>
                <w:szCs w:val="16"/>
              </w:rPr>
              <w:t xml:space="preserve"> выбранный Вами </w:t>
            </w:r>
            <w:r>
              <w:rPr>
                <w:rFonts w:cs="Times New Roman" w:ascii="Times New Roman" w:hAnsi="Times New Roman"/>
                <w:b/>
                <w:sz w:val="16"/>
                <w:szCs w:val="16"/>
              </w:rPr>
              <w:t>один вариант</w:t>
            </w:r>
          </w:p>
        </w:tc>
      </w:tr>
      <w:tr>
        <w:trPr>
          <w:trHeight w:val="214" w:hRule="atLeast"/>
        </w:trPr>
        <w:tc>
          <w:tcPr>
            <w:tcW w:w="3287" w:type="dxa"/>
            <w:gridSpan w:val="2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ЗА</w:t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z w:val="18"/>
                <w:szCs w:val="18"/>
              </w:rPr>
              <w:t>ПРОТИВ</w:t>
            </w:r>
          </w:p>
        </w:tc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>
                <w:rFonts w:ascii="Times New Roman" w:hAnsi="Times New Roman" w:cs="Times New Roman"/>
                <w:b/>
                <w:bCs/>
                <w:spacing w:val="-8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spacing w:val="-8"/>
                <w:sz w:val="18"/>
                <w:szCs w:val="18"/>
              </w:rPr>
              <w:t>ВОЗДЕРЖАЛСЯ</w:t>
            </w:r>
          </w:p>
        </w:tc>
      </w:tr>
      <w:tr>
        <w:trPr>
          <w:trHeight w:val="245" w:hRule="atLeast"/>
        </w:trPr>
        <w:tc>
          <w:tcPr>
            <w:tcW w:w="3287" w:type="dxa"/>
            <w:gridSpan w:val="2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  <w:tc>
          <w:tcPr>
            <w:tcW w:w="3474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  <w:tc>
          <w:tcPr>
            <w:tcW w:w="421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>
            <w:pPr>
              <w:pStyle w:val="ConsNormal"/>
              <w:widowControl w:val="false"/>
              <w:spacing w:lineRule="auto" w:line="228"/>
              <w:ind w:hanging="0"/>
              <w:jc w:val="center"/>
              <w:rPr/>
            </w:pPr>
            <w:r>
              <w:rPr/>
            </w:r>
          </w:p>
        </w:tc>
      </w:tr>
    </w:tbl>
    <w:p>
      <w:pPr>
        <w:pStyle w:val="Normal"/>
        <w:spacing w:lineRule="auto" w:line="228" w:before="160" w:after="0"/>
        <w:ind w:right="198" w:hanging="0"/>
        <w:jc w:val="both"/>
        <w:rPr>
          <w:b/>
          <w:bCs/>
          <w:color w:val="FFFFFF"/>
          <w:sz w:val="20"/>
          <w:szCs w:val="20"/>
        </w:rPr>
      </w:pPr>
      <w:r>
        <w:rPr>
          <w:b/>
          <w:bCs/>
          <w:sz w:val="20"/>
          <w:szCs w:val="20"/>
        </w:rPr>
        <w:t>Поля для проставления отметок в случаях, если оставлено (выбрано) более одного варианта голосования:</w:t>
      </w:r>
    </w:p>
    <w:p>
      <w:pPr>
        <w:pStyle w:val="Normal"/>
        <w:spacing w:lineRule="auto" w:line="192" w:before="60" w:after="0"/>
        <w:ind w:left="284" w:right="198" w:hanging="0"/>
        <w:jc w:val="both"/>
        <w:rPr>
          <w:bCs/>
          <w:color w:val="FFFFFF"/>
          <w:sz w:val="16"/>
          <w:szCs w:val="16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2">
                <wp:simplePos x="0" y="0"/>
                <wp:positionH relativeFrom="column">
                  <wp:posOffset>-7620</wp:posOffset>
                </wp:positionH>
                <wp:positionV relativeFrom="paragraph">
                  <wp:posOffset>9525</wp:posOffset>
                </wp:positionV>
                <wp:extent cx="114300" cy="114300"/>
                <wp:effectExtent l="635" t="635" r="635" b="635"/>
                <wp:wrapNone/>
                <wp:docPr id="1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1" path="m0,0l-2147483645,0l-2147483645,-2147483646l0,-2147483646xe" fillcolor="white" stroked="t" o:allowincell="f" style="position:absolute;margin-left:-0.6pt;margin-top:0.75pt;width:8.95pt;height:8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Cs/>
          <w:sz w:val="16"/>
          <w:szCs w:val="16"/>
        </w:rPr>
        <w:t xml:space="preserve">-  </w:t>
      </w:r>
      <w:r>
        <w:rPr>
          <w:spacing w:val="-4"/>
          <w:sz w:val="16"/>
          <w:szCs w:val="16"/>
        </w:rPr>
        <w:t>по доверенности, выданной в отношении переданных акций</w:t>
      </w:r>
    </w:p>
    <w:p>
      <w:pPr>
        <w:pStyle w:val="Normal"/>
        <w:spacing w:lineRule="auto" w:line="192" w:before="60" w:after="0"/>
        <w:ind w:left="284" w:right="198" w:hanging="0"/>
        <w:jc w:val="both"/>
        <w:rPr>
          <w:bCs/>
          <w:color w:val="FFFFFF"/>
          <w:sz w:val="16"/>
          <w:szCs w:val="16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4">
                <wp:simplePos x="0" y="0"/>
                <wp:positionH relativeFrom="column">
                  <wp:posOffset>-7620</wp:posOffset>
                </wp:positionH>
                <wp:positionV relativeFrom="paragraph">
                  <wp:posOffset>43815</wp:posOffset>
                </wp:positionV>
                <wp:extent cx="114300" cy="114300"/>
                <wp:effectExtent l="635" t="635" r="635" b="635"/>
                <wp:wrapNone/>
                <wp:docPr id="2" name="Фигура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2" path="m0,0l-2147483645,0l-2147483645,-2147483646l0,-2147483646xe" fillcolor="white" stroked="t" o:allowincell="f" style="position:absolute;margin-left:-0.6pt;margin-top:3.45pt;width:8.95pt;height:8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Cs/>
          <w:sz w:val="16"/>
          <w:szCs w:val="16"/>
        </w:rPr>
        <w:t xml:space="preserve">- </w:t>
      </w:r>
      <w:r>
        <w:rPr>
          <w:spacing w:val="-4"/>
          <w:sz w:val="16"/>
          <w:szCs w:val="16"/>
        </w:rPr>
        <w:t>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</w:t>
      </w:r>
    </w:p>
    <w:p>
      <w:pPr>
        <w:pStyle w:val="Normal"/>
        <w:spacing w:lineRule="auto" w:line="192" w:before="60" w:after="0"/>
        <w:ind w:left="284" w:right="198" w:hanging="0"/>
        <w:jc w:val="both"/>
        <w:rPr>
          <w:bCs/>
          <w:color w:val="FFFFFF"/>
          <w:sz w:val="16"/>
          <w:szCs w:val="16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5">
                <wp:simplePos x="0" y="0"/>
                <wp:positionH relativeFrom="column">
                  <wp:posOffset>-7620</wp:posOffset>
                </wp:positionH>
                <wp:positionV relativeFrom="paragraph">
                  <wp:posOffset>15875</wp:posOffset>
                </wp:positionV>
                <wp:extent cx="114300" cy="114300"/>
                <wp:effectExtent l="635" t="635" r="635" b="635"/>
                <wp:wrapNone/>
                <wp:docPr id="3" name="Фигур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3" path="m0,0l-2147483645,0l-2147483645,-2147483646l0,-2147483646xe" fillcolor="white" stroked="t" o:allowincell="f" style="position:absolute;margin-left:-0.6pt;margin-top:1.25pt;width:8.95pt;height:8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Cs/>
          <w:sz w:val="16"/>
          <w:szCs w:val="16"/>
        </w:rPr>
        <w:t xml:space="preserve">- </w:t>
      </w:r>
      <w:r>
        <w:rPr>
          <w:spacing w:val="-4"/>
          <w:sz w:val="16"/>
          <w:szCs w:val="16"/>
        </w:rPr>
        <w:t>голосование осуществляется в соответствии с указаниями владельцев депозитарных ценных бумаг и иных лиц, осуществляющих права по депозитарным ценным бумагам</w:t>
      </w:r>
    </w:p>
    <w:p>
      <w:pPr>
        <w:pStyle w:val="Normal"/>
        <w:spacing w:lineRule="auto" w:line="192" w:before="60" w:after="0"/>
        <w:ind w:left="284" w:right="198" w:hanging="0"/>
        <w:jc w:val="both"/>
        <w:rPr>
          <w:bCs/>
          <w:color w:val="FFFFFF"/>
          <w:sz w:val="16"/>
          <w:szCs w:val="16"/>
        </w:rPr>
      </w:pPr>
      <w:r>
        <mc:AlternateContent>
          <mc:Choice Requires="wps">
            <w:drawing>
              <wp:anchor behindDoc="0" distT="635" distB="635" distL="635" distR="635" simplePos="0" locked="0" layoutInCell="1" allowOverlap="1" relativeHeight="3">
                <wp:simplePos x="0" y="0"/>
                <wp:positionH relativeFrom="column">
                  <wp:posOffset>-7620</wp:posOffset>
                </wp:positionH>
                <wp:positionV relativeFrom="paragraph">
                  <wp:posOffset>26035</wp:posOffset>
                </wp:positionV>
                <wp:extent cx="114300" cy="114300"/>
                <wp:effectExtent l="635" t="635" r="635" b="635"/>
                <wp:wrapNone/>
                <wp:docPr id="4" name="Фигура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480" cy="11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4" path="m0,0l-2147483645,0l-2147483645,-2147483646l0,-2147483646xe" fillcolor="white" stroked="t" o:allowincell="f" style="position:absolute;margin-left:-0.6pt;margin-top:2.05pt;width:8.95pt;height:8.95pt;mso-wrap-style:none;v-text-anchor:middle">
                <v:fill o:detectmouseclick="t" type="solid" color2="black"/>
                <v:stroke color="black" joinstyle="round" endcap="flat"/>
                <w10:wrap type="none"/>
              </v:rect>
            </w:pict>
          </mc:Fallback>
        </mc:AlternateContent>
      </w:r>
      <w:r>
        <w:rPr>
          <w:bCs/>
          <w:sz w:val="16"/>
          <w:szCs w:val="16"/>
        </w:rPr>
        <w:t xml:space="preserve">- </w:t>
      </w:r>
      <w:r>
        <w:rPr>
          <w:spacing w:val="-4"/>
          <w:sz w:val="16"/>
          <w:szCs w:val="16"/>
        </w:rPr>
        <w:t>часть акций передана после даты, на которую определяются (фиксируются) лица, имеющие право на участие в общем собрании</w:t>
      </w:r>
    </w:p>
    <w:p>
      <w:pPr>
        <w:pStyle w:val="Normal"/>
        <w:spacing w:lineRule="auto" w:line="228" w:before="360" w:after="0"/>
        <w:ind w:right="198" w:hanging="0"/>
        <w:rPr>
          <w:color w:val="FFFFFF"/>
          <w:sz w:val="20"/>
          <w:szCs w:val="20"/>
        </w:rPr>
      </w:pPr>
      <w:r>
        <w:rPr>
          <w:sz w:val="20"/>
          <w:szCs w:val="20"/>
        </w:rPr>
        <w:t>Подпись акционера (представителя) _____________________________________________________________________________</w:t>
      </w:r>
    </w:p>
    <w:p>
      <w:pPr>
        <w:pStyle w:val="ConsPlusNormal"/>
        <w:ind w:right="198" w:hanging="0"/>
        <w:jc w:val="center"/>
        <w:rPr>
          <w:b/>
          <w:color w:val="FFFFFF"/>
          <w:sz w:val="20"/>
          <w:szCs w:val="20"/>
        </w:rPr>
      </w:pPr>
      <w:r>
        <w:rPr>
          <w:b/>
          <w:sz w:val="20"/>
          <w:szCs w:val="20"/>
        </w:rPr>
        <w:t>Бюллетень для голосования должен быть подписан лицом, имеющим право на участие в общем собрании акционеров, или его представителем.</w:t>
      </w:r>
    </w:p>
    <w:p>
      <w:pPr>
        <w:pStyle w:val="Normal"/>
        <w:spacing w:lineRule="auto" w:line="228" w:before="240" w:after="60"/>
        <w:ind w:right="198" w:hanging="0"/>
        <w:jc w:val="center"/>
        <w:rPr>
          <w:b/>
          <w:color w:val="FFFFFF"/>
          <w:spacing w:val="-4"/>
          <w:sz w:val="18"/>
          <w:szCs w:val="18"/>
        </w:rPr>
      </w:pPr>
      <w:r>
        <w:rPr>
          <w:b/>
          <w:spacing w:val="-4"/>
          <w:sz w:val="18"/>
          <w:szCs w:val="18"/>
        </w:rPr>
        <w:t>Ссылка на проекты утверждаемых документов (вопрос № 1  повестки дня)</w:t>
      </w:r>
    </w:p>
    <w:p>
      <w:pPr>
        <w:pStyle w:val="ConsPlusNormal"/>
        <w:ind w:right="198" w:hanging="0"/>
        <w:jc w:val="both"/>
        <w:rPr>
          <w:color w:val="FFFFFF"/>
          <w:sz w:val="16"/>
          <w:szCs w:val="16"/>
        </w:rPr>
      </w:pPr>
      <w:r>
        <w:rPr>
          <w:spacing w:val="-4"/>
          <w:sz w:val="16"/>
          <w:szCs w:val="18"/>
        </w:rPr>
        <w:t xml:space="preserve">           </w:t>
      </w:r>
      <w:r>
        <w:rPr>
          <w:spacing w:val="-4"/>
          <w:sz w:val="16"/>
          <w:szCs w:val="18"/>
        </w:rPr>
        <w:t xml:space="preserve">Проекты утверждаемых документов: </w:t>
      </w:r>
      <w:r>
        <w:rPr>
          <w:spacing w:val="-4"/>
          <w:sz w:val="16"/>
          <w:szCs w:val="16"/>
        </w:rPr>
        <w:t xml:space="preserve">годовая бухгалтерская (финансовая) отчётность Общества за 2023 год размещена на сайте Общества в информационно-телекоммуникационной сети «Интернет» </w:t>
      </w:r>
      <w:r>
        <w:rPr>
          <w:b/>
          <w:spacing w:val="-4"/>
          <w:sz w:val="16"/>
          <w:szCs w:val="16"/>
          <w:u w:val="single"/>
        </w:rPr>
        <w:t>https://www.e-disclosure.ru/portal/company.aspx?id=38633</w:t>
      </w:r>
    </w:p>
    <w:p>
      <w:pPr>
        <w:pStyle w:val="Normal"/>
        <w:spacing w:lineRule="auto" w:line="228" w:before="240" w:after="60"/>
        <w:ind w:right="198" w:hanging="0"/>
        <w:jc w:val="center"/>
        <w:rPr>
          <w:b/>
          <w:color w:val="FFFFFF"/>
          <w:sz w:val="18"/>
          <w:szCs w:val="18"/>
        </w:rPr>
      </w:pPr>
      <w:r>
        <w:rPr>
          <w:b/>
          <w:sz w:val="18"/>
          <w:szCs w:val="18"/>
        </w:rPr>
        <w:t>Разъяснения по порядку голосования:</w:t>
      </w:r>
    </w:p>
    <w:p>
      <w:pPr>
        <w:pStyle w:val="ConsPlusNormal"/>
        <w:ind w:right="198" w:firstLine="284"/>
        <w:jc w:val="both"/>
        <w:rPr>
          <w:color w:val="FFFFFF"/>
          <w:spacing w:val="-4"/>
          <w:sz w:val="16"/>
          <w:szCs w:val="16"/>
        </w:rPr>
      </w:pPr>
      <w:r>
        <w:rPr>
          <w:spacing w:val="-4"/>
          <w:sz w:val="16"/>
          <w:szCs w:val="16"/>
        </w:rPr>
        <w:t>в случае если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бумагам, голосующий вправе оставить (выбрать) более одного варианта голосования, в иных случаях голосующий вправе оставить (выбрать) только один вариант голосования;</w:t>
      </w:r>
    </w:p>
    <w:p>
      <w:pPr>
        <w:pStyle w:val="ConsPlusNormal"/>
        <w:ind w:right="198" w:firstLine="284"/>
        <w:jc w:val="both"/>
        <w:rPr>
          <w:color w:val="FFFFFF"/>
          <w:spacing w:val="-4"/>
          <w:sz w:val="16"/>
          <w:szCs w:val="16"/>
        </w:rPr>
      </w:pPr>
      <w:r>
        <w:rPr>
          <w:spacing w:val="-4"/>
          <w:sz w:val="16"/>
          <w:szCs w:val="16"/>
        </w:rPr>
        <w:t>в случае если голосование осуществляется по доверенности, выданной в отношении переданных акций,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голосование осуществляется по доверенности, выданной в отношении переданных акций;</w:t>
      </w:r>
    </w:p>
    <w:p>
      <w:pPr>
        <w:pStyle w:val="ConsPlusNormal"/>
        <w:ind w:right="198" w:firstLine="284"/>
        <w:jc w:val="both"/>
        <w:rPr>
          <w:color w:val="FFFFFF"/>
          <w:spacing w:val="-4"/>
          <w:sz w:val="16"/>
          <w:szCs w:val="16"/>
        </w:rPr>
      </w:pPr>
      <w:r>
        <w:rPr>
          <w:spacing w:val="-4"/>
          <w:sz w:val="16"/>
          <w:szCs w:val="16"/>
        </w:rPr>
        <w:t>в случае если в бюллетене оставлено (выбрано) более одного варианта голосования, в полях для проставления числа голосов, отданных за каждый вариант голосования, голосующим также должно быть указано число голосов, отданных за соответствующий вариант голосования, и сделана отметка о том, что голосование осуществляется в соответствии с указаниями лиц, которые приобрели акции после даты, на которую определяются (фиксируются) лица, имеющие право на участие в общем собрании, или в соответствии с указаниями владельцев депозитарных ценных бумаг и иных лиц, осуществляющих права по депозитарным ценным бумагам;</w:t>
      </w:r>
    </w:p>
    <w:p>
      <w:pPr>
        <w:pStyle w:val="Normal"/>
        <w:ind w:right="198" w:firstLine="284"/>
        <w:jc w:val="both"/>
        <w:rPr>
          <w:color w:val="FFFFFF"/>
          <w:spacing w:val="-4"/>
          <w:sz w:val="16"/>
          <w:szCs w:val="16"/>
        </w:rPr>
      </w:pPr>
      <w:r>
        <w:rPr>
          <w:spacing w:val="-4"/>
          <w:sz w:val="16"/>
          <w:szCs w:val="16"/>
        </w:rPr>
        <w:t>в случае если после даты, на которую определяются (фиксируются) лица, имеющие право на участие в общем собрании, переданы не все акции, голосующий в поле для проставления числа голосов, находящемся напротив оставленного (выбранного) варианта голосования, должен указать число голосов, отданных за оставленный (выбранный) вариант голосования, и сделать отметку о том, что часть акций передана после даты, на которую определяются (фиксируются) лица, имеющие право на участие в общем собрании. В случае если в отношении переданных акций получены указания приобретателей таких акций, совпадающие с оставленным (выбранным) вариантом голосования, такие голоса суммируются.</w:t>
      </w:r>
    </w:p>
    <w:p>
      <w:pPr>
        <w:pStyle w:val="BodyTextIndent3"/>
        <w:spacing w:before="120" w:after="0"/>
        <w:ind w:right="198" w:hanging="0"/>
        <w:rPr>
          <w:rFonts w:ascii="Times New Roman" w:hAnsi="Times New Roman"/>
          <w:color w:val="FFFFFF"/>
          <w:spacing w:val="-4"/>
          <w:sz w:val="16"/>
          <w:szCs w:val="16"/>
        </w:rPr>
      </w:pPr>
      <w:r>
        <w:rPr>
          <w:rFonts w:ascii="Times New Roman" w:hAnsi="Times New Roman"/>
          <w:b/>
          <w:spacing w:val="-4"/>
          <w:sz w:val="16"/>
          <w:szCs w:val="16"/>
        </w:rPr>
        <w:t>При кумулятивном голосовании (вопрос № 3 повестки дня)</w:t>
      </w:r>
      <w:r>
        <w:rPr>
          <w:rFonts w:ascii="Times New Roman" w:hAnsi="Times New Roman"/>
          <w:spacing w:val="-4"/>
          <w:sz w:val="16"/>
          <w:szCs w:val="16"/>
        </w:rPr>
        <w:t xml:space="preserve"> число голосов, принадлежащих каждому акционеру, умножается на число лиц, которые должны быть избраны в совет директоров (наблюдательный совет) Общества, и акционер вправе отдать полученные таким образом голоса полностью за одного кандидата или распределить их между двумя и более кандидатами.</w:t>
      </w:r>
    </w:p>
    <w:p>
      <w:pPr>
        <w:pStyle w:val="BodyTextIndent3"/>
        <w:ind w:right="198" w:hanging="0"/>
        <w:rPr>
          <w:rFonts w:ascii="Times New Roman" w:hAnsi="Times New Roman"/>
          <w:color w:val="FFFFFF"/>
          <w:spacing w:val="-4"/>
          <w:sz w:val="16"/>
          <w:szCs w:val="16"/>
        </w:rPr>
      </w:pPr>
      <w:r>
        <w:rPr>
          <w:rFonts w:ascii="Times New Roman" w:hAnsi="Times New Roman"/>
          <w:spacing w:val="-4"/>
          <w:sz w:val="16"/>
          <w:szCs w:val="16"/>
        </w:rPr>
        <w:t>Дробная часть голоса, полученная в результате умножения числа голосов, принадлежащих акционеру - владельцу дробной акции, на число лиц, которые должны быть избраны в совет директоров (наблюдательный совет) Общества, может быть отдана только за одного кандидата.</w:t>
      </w:r>
    </w:p>
    <w:p>
      <w:pPr>
        <w:pStyle w:val="Normal"/>
        <w:ind w:right="198" w:hanging="0"/>
        <w:jc w:val="both"/>
        <w:rPr>
          <w:color w:val="FFFFFF"/>
          <w:spacing w:val="-4"/>
          <w:sz w:val="16"/>
          <w:szCs w:val="16"/>
        </w:rPr>
      </w:pPr>
      <w:r>
        <w:rPr>
          <w:spacing w:val="-4"/>
          <w:sz w:val="16"/>
          <w:szCs w:val="16"/>
        </w:rPr>
        <w:t>Избранными в состав совета директоров (наблюдательного совета) Общества считаются кандидаты, набравшие наибольшее число голосов.</w:t>
      </w:r>
    </w:p>
    <w:p>
      <w:pPr>
        <w:pStyle w:val="Normal"/>
        <w:spacing w:lineRule="auto" w:line="228" w:before="160" w:after="0"/>
        <w:ind w:right="198" w:hanging="0"/>
        <w:jc w:val="both"/>
        <w:rPr>
          <w:spacing w:val="-4"/>
          <w:sz w:val="18"/>
          <w:szCs w:val="18"/>
        </w:rPr>
      </w:pPr>
      <w:r>
        <w:rPr/>
      </w:r>
    </w:p>
    <w:sectPr>
      <w:type w:val="nextPage"/>
      <w:pgSz w:w="11906" w:h="16838"/>
      <w:pgMar w:left="567" w:right="227" w:gutter="0" w:header="0" w:top="284" w:footer="0" w:bottom="142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Wingdings 2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700b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link w:val="21"/>
    <w:qFormat/>
    <w:rsid w:val="00700bc7"/>
    <w:pPr>
      <w:keepNext w:val="true"/>
      <w:jc w:val="both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2z1" w:customStyle="1">
    <w:name w:val="WW8Num12z1"/>
    <w:qFormat/>
    <w:rsid w:val="002b2c0a"/>
    <w:rPr>
      <w:rFonts w:ascii="Wingdings 2" w:hAnsi="Wingdings 2" w:cs="StarSymbol"/>
      <w:sz w:val="18"/>
      <w:szCs w:val="18"/>
    </w:rPr>
  </w:style>
  <w:style w:type="character" w:styleId="WW8Num12z2" w:customStyle="1">
    <w:name w:val="WW8Num12z2"/>
    <w:qFormat/>
    <w:rsid w:val="00fb3a64"/>
    <w:rPr>
      <w:rFonts w:ascii="StarSymbol" w:hAnsi="StarSymbol" w:cs="StarSymbol"/>
      <w:sz w:val="18"/>
      <w:szCs w:val="18"/>
    </w:rPr>
  </w:style>
  <w:style w:type="character" w:styleId="Style13" w:customStyle="1">
    <w:name w:val="Нижний колонтитул Знак"/>
    <w:qFormat/>
    <w:locked/>
    <w:rsid w:val="00b342eb"/>
    <w:rPr>
      <w:sz w:val="24"/>
      <w:szCs w:val="24"/>
      <w:lang w:val="ru-RU" w:eastAsia="ru-RU" w:bidi="ar-SA"/>
    </w:rPr>
  </w:style>
  <w:style w:type="character" w:styleId="1" w:customStyle="1">
    <w:name w:val="Основной текст Знак1"/>
    <w:qFormat/>
    <w:locked/>
    <w:rsid w:val="00c7620b"/>
    <w:rPr>
      <w:spacing w:val="5"/>
      <w:sz w:val="21"/>
      <w:shd w:fill="FFFFFF" w:val="clear"/>
    </w:rPr>
  </w:style>
  <w:style w:type="character" w:styleId="Style14" w:customStyle="1">
    <w:name w:val="Основной текст + Полужирный"/>
    <w:qFormat/>
    <w:rsid w:val="00c7620b"/>
    <w:rPr>
      <w:b/>
      <w:spacing w:val="6"/>
      <w:sz w:val="21"/>
      <w:shd w:fill="FFFFFF" w:val="clear"/>
    </w:rPr>
  </w:style>
  <w:style w:type="character" w:styleId="21" w:customStyle="1">
    <w:name w:val="Заголовок 2 Знак"/>
    <w:basedOn w:val="DefaultParagraphFont"/>
    <w:semiHidden/>
    <w:qFormat/>
    <w:locked/>
    <w:rsid w:val="00f54063"/>
    <w:rPr>
      <w:sz w:val="28"/>
      <w:szCs w:val="24"/>
      <w:lang w:val="ru-RU" w:eastAsia="ru-RU" w:bidi="ar-SA"/>
    </w:rPr>
  </w:style>
  <w:style w:type="character" w:styleId="-">
    <w:name w:val="Hyperlink"/>
    <w:basedOn w:val="DefaultParagraphFont"/>
    <w:rsid w:val="00f338ad"/>
    <w:rPr>
      <w:color w:val="0000FF"/>
      <w:u w:val="single"/>
    </w:rPr>
  </w:style>
  <w:style w:type="character" w:styleId="Style15">
    <w:name w:val="FollowedHyperlink"/>
    <w:basedOn w:val="DefaultParagraphFont"/>
    <w:rsid w:val="00264284"/>
    <w:rPr>
      <w:color w:val="800080"/>
      <w:u w:val="single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rsid w:val="006307df"/>
    <w:pPr>
      <w:spacing w:before="0" w:after="12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ConsNormal" w:customStyle="1">
    <w:name w:val="ConsNormal"/>
    <w:qFormat/>
    <w:rsid w:val="00700bc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1">
    <w:name w:val="Title"/>
    <w:basedOn w:val="Normal"/>
    <w:qFormat/>
    <w:rsid w:val="00700bc7"/>
    <w:pPr>
      <w:jc w:val="center"/>
    </w:pPr>
    <w:rPr>
      <w:b/>
      <w:bCs/>
    </w:rPr>
  </w:style>
  <w:style w:type="paragraph" w:styleId="BodyTextIndent3">
    <w:name w:val="Body Text Indent 3"/>
    <w:basedOn w:val="Normal"/>
    <w:qFormat/>
    <w:rsid w:val="00700bc7"/>
    <w:pPr>
      <w:ind w:firstLine="567"/>
      <w:jc w:val="both"/>
    </w:pPr>
    <w:rPr>
      <w:rFonts w:ascii="Arial" w:hAnsi="Arial"/>
      <w:sz w:val="20"/>
    </w:rPr>
  </w:style>
  <w:style w:type="paragraph" w:styleId="PlainText">
    <w:name w:val="Plain Text"/>
    <w:basedOn w:val="Normal"/>
    <w:qFormat/>
    <w:rsid w:val="00700bc7"/>
    <w:pPr/>
    <w:rPr>
      <w:rFonts w:ascii="Courier New" w:hAnsi="Courier New"/>
      <w:sz w:val="20"/>
      <w:szCs w:val="20"/>
    </w:rPr>
  </w:style>
  <w:style w:type="paragraph" w:styleId="BalloonText">
    <w:name w:val="Balloon Text"/>
    <w:basedOn w:val="Normal"/>
    <w:semiHidden/>
    <w:qFormat/>
    <w:rsid w:val="00700bc7"/>
    <w:pPr/>
    <w:rPr>
      <w:rFonts w:ascii="Tahoma" w:hAnsi="Tahoma" w:cs="Tahoma"/>
      <w:sz w:val="16"/>
      <w:szCs w:val="16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rsid w:val="005c3f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3"/>
    <w:rsid w:val="005c3f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6307df"/>
    <w:pPr>
      <w:spacing w:lineRule="auto" w:line="480" w:before="0" w:after="120"/>
      <w:ind w:left="283" w:hanging="0"/>
    </w:pPr>
    <w:rPr/>
  </w:style>
  <w:style w:type="paragraph" w:styleId="Style25" w:customStyle="1">
    <w:name w:val="Содержимое таблицы"/>
    <w:basedOn w:val="Normal"/>
    <w:qFormat/>
    <w:rsid w:val="00550d6b"/>
    <w:pPr>
      <w:widowControl w:val="false"/>
      <w:suppressLineNumbers/>
      <w:suppressAutoHyphens w:val="true"/>
    </w:pPr>
    <w:rPr>
      <w:rFonts w:eastAsia="Lucida Sans Unicode" w:cs="Tahoma"/>
      <w:kern w:val="2"/>
      <w:lang w:bidi="ru-RU"/>
    </w:rPr>
  </w:style>
  <w:style w:type="paragraph" w:styleId="211" w:customStyle="1">
    <w:name w:val="Основной текст 21"/>
    <w:basedOn w:val="Normal"/>
    <w:qFormat/>
    <w:rsid w:val="002b2c0a"/>
    <w:pPr>
      <w:jc w:val="both"/>
    </w:pPr>
    <w:rPr>
      <w:szCs w:val="20"/>
    </w:rPr>
  </w:style>
  <w:style w:type="paragraph" w:styleId="NormalWeb">
    <w:name w:val="Normal (Web)"/>
    <w:basedOn w:val="Normal"/>
    <w:unhideWhenUsed/>
    <w:qFormat/>
    <w:rsid w:val="002b2c0a"/>
    <w:pPr>
      <w:spacing w:beforeAutospacing="1" w:after="119"/>
    </w:pPr>
    <w:rPr/>
  </w:style>
  <w:style w:type="paragraph" w:styleId="Prilozhenie" w:customStyle="1">
    <w:name w:val="prilozhenie"/>
    <w:basedOn w:val="Normal"/>
    <w:qFormat/>
    <w:rsid w:val="00a12dc8"/>
    <w:pPr>
      <w:ind w:firstLine="709"/>
      <w:jc w:val="both"/>
    </w:pPr>
    <w:rPr>
      <w:lang w:eastAsia="en-US"/>
    </w:rPr>
  </w:style>
  <w:style w:type="paragraph" w:styleId="22" w:customStyle="1">
    <w:name w:val="Формальный2"/>
    <w:basedOn w:val="Normal"/>
    <w:qFormat/>
    <w:rsid w:val="00c37233"/>
    <w:pPr>
      <w:spacing w:before="60" w:after="60"/>
    </w:pPr>
    <w:rPr>
      <w:rFonts w:ascii="Arial" w:hAnsi="Arial"/>
      <w:b/>
      <w:szCs w:val="20"/>
    </w:rPr>
  </w:style>
  <w:style w:type="paragraph" w:styleId="Default" w:customStyle="1">
    <w:name w:val="Default"/>
    <w:qFormat/>
    <w:rsid w:val="003866d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292ec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26">
    <w:name w:val="Заголовок таблицы"/>
    <w:basedOn w:val="Style25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872a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Application>LibreOffice/7.5.4.2$Windows_X86_64 LibreOffice_project/36ccfdc35048b057fd9854c757a8b67ec53977b6</Application>
  <AppVersion>15.0000</AppVersion>
  <Pages>2</Pages>
  <Words>882</Words>
  <Characters>6221</Characters>
  <CharactersWithSpaces>7031</CharactersWithSpaces>
  <Paragraphs>86</Paragraphs>
  <Company>NR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2024-05-16T07:26:00Z</dcterms:created>
  <dc:creator>shpitmansky_v</dc:creator>
  <dc:description/>
  <dc:language>ru-RU</dc:language>
  <cp:lastModifiedBy/>
  <cp:lastPrinted>2024-05-23T11:54:25Z</cp:lastPrinted>
  <dcterms:modified xsi:type="dcterms:W3CDTF">2024-05-23T12:04:45Z</dcterms:modified>
  <cp:revision>12</cp:revision>
  <dc:subject/>
  <dc:title>БЮЛЛЕТЕНЬ ДЛЯ ГОЛОСОВАНИЯ НА ОБЩЕМ СОБРАНИИ АКЦИОНЕРОВ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